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F2" w:rsidRPr="002E1327" w:rsidRDefault="00DD47FF" w:rsidP="00EE0BF2">
      <w:pPr>
        <w:pStyle w:val="Titre3"/>
        <w:rPr>
          <w:sz w:val="20"/>
          <w:u w:val="none"/>
          <w:lang w:val="en-US"/>
        </w:rPr>
      </w:pPr>
      <w:r>
        <w:rPr>
          <w:sz w:val="20"/>
          <w:u w:val="none"/>
          <w:lang w:val="en-US"/>
        </w:rPr>
        <w:t>Material</w:t>
      </w:r>
      <w:r w:rsidRPr="002E1327">
        <w:rPr>
          <w:sz w:val="20"/>
          <w:u w:val="none"/>
          <w:lang w:val="en-US"/>
        </w:rPr>
        <w:t>:</w:t>
      </w:r>
      <w:r w:rsidR="00EE0BF2" w:rsidRPr="002E1327">
        <w:rPr>
          <w:sz w:val="20"/>
          <w:u w:val="none"/>
          <w:lang w:val="en-US"/>
        </w:rPr>
        <w:t xml:space="preserve"> MA_LABEL</w:t>
      </w:r>
    </w:p>
    <w:p w:rsidR="00EE0BF2" w:rsidRPr="002E1327" w:rsidRDefault="00EE0BF2" w:rsidP="00EE0BF2">
      <w:pPr>
        <w:pStyle w:val="textecourant"/>
        <w:rPr>
          <w:lang w:val="en-US"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785"/>
        <w:gridCol w:w="1601"/>
        <w:gridCol w:w="2984"/>
        <w:gridCol w:w="1601"/>
      </w:tblGrid>
      <w:tr w:rsidR="003B49E0" w:rsidRPr="002E1327" w:rsidTr="00274A47">
        <w:tc>
          <w:tcPr>
            <w:tcW w:w="1668" w:type="dxa"/>
          </w:tcPr>
          <w:p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Unit</w:t>
            </w:r>
          </w:p>
        </w:tc>
        <w:tc>
          <w:tcPr>
            <w:tcW w:w="1559" w:type="dxa"/>
          </w:tcPr>
          <w:p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MA_UNIT</w:t>
            </w:r>
          </w:p>
        </w:tc>
        <w:tc>
          <w:tcPr>
            <w:tcW w:w="2785" w:type="dxa"/>
            <w:vAlign w:val="center"/>
          </w:tcPr>
          <w:p w:rsidR="003B49E0" w:rsidRPr="002E1327" w:rsidRDefault="002E1327" w:rsidP="00EE0BF2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Thermal resistance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(m2.K/W) </w:t>
            </w:r>
          </w:p>
        </w:tc>
        <w:tc>
          <w:tcPr>
            <w:tcW w:w="1601" w:type="dxa"/>
            <w:vAlign w:val="center"/>
          </w:tcPr>
          <w:p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MA_THR</w:t>
            </w:r>
          </w:p>
        </w:tc>
        <w:tc>
          <w:tcPr>
            <w:tcW w:w="2984" w:type="dxa"/>
          </w:tcPr>
          <w:p w:rsidR="003B49E0" w:rsidRPr="002E1327" w:rsidRDefault="003B49E0" w:rsidP="003B49E0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Volume</w:t>
            </w:r>
            <w:r w:rsidR="009B783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</w:t>
            </w:r>
          </w:p>
        </w:tc>
        <w:tc>
          <w:tcPr>
            <w:tcW w:w="1601" w:type="dxa"/>
          </w:tcPr>
          <w:p w:rsidR="003B49E0" w:rsidRPr="002E1327" w:rsidRDefault="00F66017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MA_VOL</w:t>
            </w:r>
          </w:p>
        </w:tc>
      </w:tr>
      <w:tr w:rsidR="003B49E0" w:rsidRPr="002E1327" w:rsidTr="00274A47">
        <w:tc>
          <w:tcPr>
            <w:tcW w:w="1668" w:type="dxa"/>
          </w:tcPr>
          <w:p w:rsidR="003B49E0" w:rsidRPr="002E1327" w:rsidRDefault="002E1327" w:rsidP="00EE0BF2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Qy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é</w:t>
            </w:r>
            <w:proofErr w:type="spellEnd"/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.</w:t>
            </w:r>
          </w:p>
        </w:tc>
        <w:tc>
          <w:tcPr>
            <w:tcW w:w="1559" w:type="dxa"/>
          </w:tcPr>
          <w:p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MA_QTY</w:t>
            </w:r>
          </w:p>
        </w:tc>
        <w:tc>
          <w:tcPr>
            <w:tcW w:w="2785" w:type="dxa"/>
            <w:vAlign w:val="center"/>
          </w:tcPr>
          <w:p w:rsidR="003B49E0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transmission delay 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∆t (h) </w:t>
            </w:r>
          </w:p>
        </w:tc>
        <w:tc>
          <w:tcPr>
            <w:tcW w:w="1601" w:type="dxa"/>
            <w:vAlign w:val="center"/>
          </w:tcPr>
          <w:p w:rsidR="003B49E0" w:rsidRPr="002E1327" w:rsidRDefault="003B49E0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MA_HTD</w:t>
            </w:r>
          </w:p>
        </w:tc>
        <w:tc>
          <w:tcPr>
            <w:tcW w:w="2984" w:type="dxa"/>
            <w:vAlign w:val="center"/>
          </w:tcPr>
          <w:p w:rsidR="003B49E0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vol.</w:t>
            </w:r>
            <w:r w:rsidR="003B49E0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3B49E0" w:rsidRPr="002E1327" w:rsidRDefault="003B49E0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MA_BRS_V</w:t>
            </w:r>
          </w:p>
        </w:tc>
      </w:tr>
      <w:tr w:rsidR="00A14A9B" w:rsidRPr="002E1327" w:rsidTr="002E1327">
        <w:trPr>
          <w:trHeight w:val="108"/>
        </w:trPr>
        <w:tc>
          <w:tcPr>
            <w:tcW w:w="1668" w:type="dxa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A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ir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qual.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MA_AIR_R</w:t>
            </w:r>
          </w:p>
        </w:tc>
        <w:tc>
          <w:tcPr>
            <w:tcW w:w="2785" w:type="dxa"/>
            <w:vAlign w:val="center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lang w:val="en-US"/>
              </w:rPr>
              <w:t>Heat transmission factor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(%) 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MA_HTF</w:t>
            </w:r>
          </w:p>
        </w:tc>
        <w:tc>
          <w:tcPr>
            <w:tcW w:w="2984" w:type="dxa"/>
            <w:vAlign w:val="center"/>
          </w:tcPr>
          <w:p w:rsidR="00A14A9B" w:rsidRPr="002E1327" w:rsidRDefault="002E1327" w:rsidP="003B49E0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vol.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MA_WOOD_V</w:t>
            </w:r>
          </w:p>
        </w:tc>
      </w:tr>
      <w:tr w:rsidR="00A14A9B" w:rsidRPr="002E1327" w:rsidTr="00274A47">
        <w:tc>
          <w:tcPr>
            <w:tcW w:w="1668" w:type="dxa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Fire reaction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MA_FIRE_REACTION</w:t>
            </w:r>
          </w:p>
        </w:tc>
        <w:tc>
          <w:tcPr>
            <w:tcW w:w="2785" w:type="dxa"/>
            <w:vAlign w:val="center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Heat capacity (1 day)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kJ/(m².K) :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MA_AHC_1D</w:t>
            </w:r>
          </w:p>
        </w:tc>
        <w:tc>
          <w:tcPr>
            <w:tcW w:w="2984" w:type="dxa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</w:t>
            </w:r>
          </w:p>
        </w:tc>
        <w:tc>
          <w:tcPr>
            <w:tcW w:w="1601" w:type="dxa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MA_WEIGHT</w:t>
            </w:r>
          </w:p>
        </w:tc>
      </w:tr>
      <w:tr w:rsidR="00A14A9B" w:rsidRPr="002E1327" w:rsidTr="00274A47">
        <w:tc>
          <w:tcPr>
            <w:tcW w:w="1668" w:type="dxa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Env</w:t>
            </w:r>
            <w:proofErr w:type="spellEnd"/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. data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MA_ORIG_ENV</w:t>
            </w:r>
          </w:p>
        </w:tc>
        <w:tc>
          <w:tcPr>
            <w:tcW w:w="2785" w:type="dxa"/>
            <w:vAlign w:val="center"/>
          </w:tcPr>
          <w:p w:rsidR="00A14A9B" w:rsidRPr="002E1327" w:rsidRDefault="002E1327" w:rsidP="002E1327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Heat capacity (1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2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day</w:t>
            </w: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s</w:t>
            </w: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) 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- kJ/(m².K)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MA_AHC_12D</w:t>
            </w:r>
          </w:p>
        </w:tc>
        <w:tc>
          <w:tcPr>
            <w:tcW w:w="2984" w:type="dxa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Biomaterials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(kg) </w:t>
            </w:r>
          </w:p>
        </w:tc>
        <w:tc>
          <w:tcPr>
            <w:tcW w:w="1601" w:type="dxa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MA_BRS_W</w:t>
            </w:r>
          </w:p>
        </w:tc>
      </w:tr>
      <w:tr w:rsidR="00A14A9B" w:rsidRPr="002E1327" w:rsidTr="00274A47">
        <w:tc>
          <w:tcPr>
            <w:tcW w:w="1668" w:type="dxa"/>
          </w:tcPr>
          <w:p w:rsidR="00A14A9B" w:rsidRPr="002E1327" w:rsidRDefault="00A14A9B" w:rsidP="002E1327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Inies</w:t>
            </w:r>
            <w:proofErr w:type="spellEnd"/>
            <w:r w:rsid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id.</w:t>
            </w:r>
          </w:p>
        </w:tc>
        <w:tc>
          <w:tcPr>
            <w:tcW w:w="1559" w:type="dxa"/>
          </w:tcPr>
          <w:p w:rsidR="00A14A9B" w:rsidRPr="002E1327" w:rsidRDefault="00A14A9B" w:rsidP="002E132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MA_INIES_ID</w:t>
            </w:r>
          </w:p>
        </w:tc>
        <w:tc>
          <w:tcPr>
            <w:tcW w:w="2785" w:type="dxa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Vapor transfer resistance factor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(mu)</w:t>
            </w:r>
          </w:p>
        </w:tc>
        <w:tc>
          <w:tcPr>
            <w:tcW w:w="1601" w:type="dxa"/>
          </w:tcPr>
          <w:p w:rsidR="00A14A9B" w:rsidRPr="002E1327" w:rsidRDefault="00A14A9B" w:rsidP="00274A47">
            <w:pPr>
              <w:rPr>
                <w:rFonts w:ascii="Calibri" w:hAnsi="Calibri"/>
                <w:bCs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MA_MU</w:t>
            </w:r>
          </w:p>
        </w:tc>
        <w:tc>
          <w:tcPr>
            <w:tcW w:w="2984" w:type="dxa"/>
            <w:vAlign w:val="center"/>
          </w:tcPr>
          <w:p w:rsidR="00A14A9B" w:rsidRPr="002E1327" w:rsidRDefault="002E1327" w:rsidP="005D70F6">
            <w:pPr>
              <w:jc w:val="right"/>
              <w:rPr>
                <w:rFonts w:ascii="Calibri" w:hAnsi="Calibri"/>
                <w:color w:val="000000"/>
                <w:szCs w:val="16"/>
                <w:lang w:val="en-US"/>
              </w:rPr>
            </w:pPr>
            <w:r>
              <w:rPr>
                <w:rFonts w:ascii="Calibri" w:hAnsi="Calibri"/>
                <w:bCs/>
                <w:color w:val="000000"/>
                <w:szCs w:val="16"/>
                <w:lang w:val="en-US"/>
              </w:rPr>
              <w:t>Wood weight</w:t>
            </w:r>
            <w:r w:rsidR="00A14A9B"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 xml:space="preserve"> (m3) </w:t>
            </w:r>
          </w:p>
        </w:tc>
        <w:tc>
          <w:tcPr>
            <w:tcW w:w="1601" w:type="dxa"/>
            <w:vAlign w:val="center"/>
          </w:tcPr>
          <w:p w:rsidR="00A14A9B" w:rsidRPr="002E1327" w:rsidRDefault="00A14A9B" w:rsidP="00274A47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bCs/>
                <w:color w:val="000000"/>
                <w:szCs w:val="16"/>
                <w:lang w:val="en-US"/>
              </w:rPr>
              <w:t>MA_WOOD_W</w:t>
            </w:r>
          </w:p>
        </w:tc>
      </w:tr>
    </w:tbl>
    <w:p w:rsidR="00EE0BF2" w:rsidRPr="002E1327" w:rsidRDefault="00EE0BF2">
      <w:pPr>
        <w:rPr>
          <w:sz w:val="14"/>
          <w:szCs w:val="14"/>
          <w:lang w:val="en-US"/>
        </w:rPr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1668"/>
        <w:gridCol w:w="13182"/>
      </w:tblGrid>
      <w:tr w:rsidR="00EE0BF2" w:rsidRPr="002E1327" w:rsidTr="00F83C99">
        <w:tc>
          <w:tcPr>
            <w:tcW w:w="1668" w:type="dxa"/>
          </w:tcPr>
          <w:p w:rsidR="00EE0BF2" w:rsidRPr="002E1327" w:rsidRDefault="00EE0BF2" w:rsidP="00DC17E1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Comment</w:t>
            </w:r>
          </w:p>
        </w:tc>
        <w:tc>
          <w:tcPr>
            <w:tcW w:w="13182" w:type="dxa"/>
          </w:tcPr>
          <w:p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MA_COMMENT</w:t>
            </w:r>
          </w:p>
        </w:tc>
      </w:tr>
      <w:tr w:rsidR="00A10D25" w:rsidRPr="002E1327" w:rsidTr="00F83C99">
        <w:tc>
          <w:tcPr>
            <w:tcW w:w="1668" w:type="dxa"/>
          </w:tcPr>
          <w:p w:rsidR="00A10D25" w:rsidRPr="002E1327" w:rsidRDefault="00DC17E1" w:rsidP="005D70F6">
            <w:pPr>
              <w:jc w:val="right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De</w:t>
            </w:r>
            <w:r w:rsidR="00A10D25" w:rsidRPr="002E1327">
              <w:rPr>
                <w:szCs w:val="16"/>
                <w:lang w:val="en-US"/>
              </w:rPr>
              <w:t>clarant(s)</w:t>
            </w:r>
          </w:p>
        </w:tc>
        <w:tc>
          <w:tcPr>
            <w:tcW w:w="13182" w:type="dxa"/>
          </w:tcPr>
          <w:p w:rsidR="00A10D25" w:rsidRPr="002E1327" w:rsidRDefault="00A10D25" w:rsidP="005D70F6">
            <w:pPr>
              <w:rPr>
                <w:rFonts w:ascii="Calibri" w:hAnsi="Calibri"/>
                <w:color w:val="000000"/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MA_DECLARANTS</w:t>
            </w:r>
          </w:p>
        </w:tc>
      </w:tr>
      <w:tr w:rsidR="00EE0BF2" w:rsidRPr="002E1327" w:rsidTr="00F83C99">
        <w:tc>
          <w:tcPr>
            <w:tcW w:w="1668" w:type="dxa"/>
          </w:tcPr>
          <w:p w:rsidR="00EE0BF2" w:rsidRPr="002E1327" w:rsidRDefault="00EE0BF2" w:rsidP="00274A47">
            <w:pPr>
              <w:jc w:val="right"/>
              <w:rPr>
                <w:szCs w:val="16"/>
                <w:lang w:val="en-US"/>
              </w:rPr>
            </w:pPr>
            <w:r w:rsidRPr="002E1327">
              <w:rPr>
                <w:szCs w:val="16"/>
                <w:lang w:val="en-US"/>
              </w:rPr>
              <w:t>Sources</w:t>
            </w:r>
          </w:p>
        </w:tc>
        <w:tc>
          <w:tcPr>
            <w:tcW w:w="13182" w:type="dxa"/>
          </w:tcPr>
          <w:p w:rsidR="00EE0BF2" w:rsidRPr="002E1327" w:rsidRDefault="00EE0BF2">
            <w:pPr>
              <w:rPr>
                <w:szCs w:val="16"/>
                <w:lang w:val="en-US"/>
              </w:rPr>
            </w:pPr>
            <w:r w:rsidRPr="002E1327">
              <w:rPr>
                <w:rFonts w:ascii="Calibri" w:hAnsi="Calibri"/>
                <w:color w:val="000000"/>
                <w:szCs w:val="16"/>
                <w:lang w:val="en-US"/>
              </w:rPr>
              <w:t>MA_SOURCES</w:t>
            </w:r>
          </w:p>
        </w:tc>
      </w:tr>
    </w:tbl>
    <w:p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8"/>
        <w:gridCol w:w="1417"/>
        <w:gridCol w:w="1418"/>
        <w:gridCol w:w="1275"/>
      </w:tblGrid>
      <w:tr w:rsidR="00EE0BF2" w:rsidRPr="002E1327" w:rsidTr="00F651C7">
        <w:tc>
          <w:tcPr>
            <w:tcW w:w="3726" w:type="dxa"/>
            <w:gridSpan w:val="2"/>
            <w:vMerge w:val="restart"/>
          </w:tcPr>
          <w:p w:rsidR="00EE0BF2" w:rsidRPr="002E1327" w:rsidRDefault="00EE0BF2" w:rsidP="002E0555">
            <w:pPr>
              <w:keepNext/>
              <w:jc w:val="center"/>
              <w:rPr>
                <w:sz w:val="14"/>
                <w:lang w:val="en-US"/>
              </w:rPr>
            </w:pPr>
          </w:p>
          <w:p w:rsidR="00EE0BF2" w:rsidRPr="002E1327" w:rsidRDefault="00DC17E1" w:rsidP="002E0555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Global warming potential</w:t>
            </w:r>
          </w:p>
        </w:tc>
        <w:tc>
          <w:tcPr>
            <w:tcW w:w="1417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Depletion potential of the stratospheric ozone layer</w:t>
            </w:r>
          </w:p>
        </w:tc>
        <w:tc>
          <w:tcPr>
            <w:tcW w:w="1276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Eutrophication potential</w:t>
            </w:r>
          </w:p>
        </w:tc>
        <w:tc>
          <w:tcPr>
            <w:tcW w:w="1559" w:type="dxa"/>
            <w:vAlign w:val="center"/>
          </w:tcPr>
          <w:p w:rsidR="00EE0BF2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Formation potential of tropospheric ozone photochemical oxidants</w:t>
            </w:r>
          </w:p>
        </w:tc>
        <w:tc>
          <w:tcPr>
            <w:tcW w:w="1418" w:type="dxa"/>
            <w:vAlign w:val="center"/>
          </w:tcPr>
          <w:p w:rsidR="00EE0BF2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 fossil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>s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7" w:type="dxa"/>
            <w:vAlign w:val="center"/>
          </w:tcPr>
          <w:p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Fossils a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biotic depletion potential</w:t>
            </w:r>
          </w:p>
        </w:tc>
        <w:tc>
          <w:tcPr>
            <w:tcW w:w="1418" w:type="dxa"/>
            <w:vAlign w:val="center"/>
          </w:tcPr>
          <w:p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Air p</w:t>
            </w:r>
            <w:r w:rsidR="00EE0BF2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ollution </w:t>
            </w:r>
          </w:p>
        </w:tc>
        <w:tc>
          <w:tcPr>
            <w:tcW w:w="1275" w:type="dxa"/>
            <w:vAlign w:val="center"/>
          </w:tcPr>
          <w:p w:rsidR="00EE0BF2" w:rsidRPr="002E1327" w:rsidRDefault="002E1327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Water pollution</w:t>
            </w:r>
          </w:p>
        </w:tc>
      </w:tr>
      <w:tr w:rsidR="00EE0BF2" w:rsidRPr="002E1327" w:rsidTr="00F651C7">
        <w:tc>
          <w:tcPr>
            <w:tcW w:w="3726" w:type="dxa"/>
            <w:gridSpan w:val="2"/>
            <w:vMerge/>
          </w:tcPr>
          <w:p w:rsidR="00EE0BF2" w:rsidRPr="002E1327" w:rsidRDefault="00EE0BF2" w:rsidP="002E0555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CO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2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CFC 11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76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 (PO</w:t>
            </w:r>
            <w:r w:rsidRPr="002E1327">
              <w:rPr>
                <w:rFonts w:cs="Arial"/>
                <w:i/>
                <w:sz w:val="14"/>
                <w:szCs w:val="16"/>
                <w:vertAlign w:val="subscript"/>
                <w:lang w:val="en-US"/>
              </w:rPr>
              <w:t>4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)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3-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/UF.</w:t>
            </w:r>
          </w:p>
        </w:tc>
        <w:tc>
          <w:tcPr>
            <w:tcW w:w="1559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</w:t>
            </w:r>
            <w:r w:rsidR="00DD47FF" w:rsidRPr="002E1327">
              <w:rPr>
                <w:rFonts w:cs="Arial"/>
                <w:i/>
                <w:sz w:val="14"/>
                <w:szCs w:val="16"/>
                <w:lang w:val="en-US"/>
              </w:rPr>
              <w:t>ethylene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 xml:space="preserve">kg Sb </w:t>
            </w:r>
            <w:proofErr w:type="spellStart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éq</w:t>
            </w:r>
            <w:proofErr w:type="spellEnd"/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417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418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  <w:tc>
          <w:tcPr>
            <w:tcW w:w="1275" w:type="dxa"/>
            <w:vAlign w:val="center"/>
          </w:tcPr>
          <w:p w:rsidR="00EE0BF2" w:rsidRPr="002E1327" w:rsidRDefault="00EE0BF2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</w:t>
            </w:r>
            <w:r w:rsidRPr="002E1327">
              <w:rPr>
                <w:rFonts w:cs="Arial"/>
                <w:i/>
                <w:sz w:val="14"/>
                <w:szCs w:val="16"/>
                <w:vertAlign w:val="superscript"/>
                <w:lang w:val="en-US"/>
              </w:rPr>
              <w:t>3</w:t>
            </w: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/UF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MA_GWP_A1_A3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MA_ODP_A1_A3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MA_EP_A1_A3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MA_POCP_A1_A3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MA_ADPE_A1_A3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MA_ADPF_A1_A3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MA_AIP_A1_A3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MA_WAP_A1_A3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MA_GWP_A4_A5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MA_ODP_A4_A5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MA_EP_A4_A5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MA_POCP_A4_A5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MA_ADPE_A4_A5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MA_ADPF_A4_A5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MA_AIP_A4_A5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MA_WAP_A4_A5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MA_GWP_B1_B7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MA_ODP_B1_B7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MA_EP_B1_B7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MA_POCP_B1_B7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MA_ADPE_B1_B7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MA_ADPF_B1_B7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MA_AIP_B1_B7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MA_WAP_B1_B7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C1-C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4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MA_GWP_C1_C4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MA_ODP_C1_C4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MA_EP_C1_C4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MA_POCP_C1_C4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MA_ADPE_C1_C4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MA_ADPF_C1_C4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MA_AIP_C1_C4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MA_WAP_C1_C4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WLF</w:t>
            </w:r>
          </w:p>
        </w:tc>
        <w:tc>
          <w:tcPr>
            <w:tcW w:w="1344" w:type="dxa"/>
            <w:vAlign w:val="bottom"/>
          </w:tcPr>
          <w:p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MA_GWP_WLC</w:t>
            </w:r>
          </w:p>
        </w:tc>
        <w:tc>
          <w:tcPr>
            <w:tcW w:w="1417" w:type="dxa"/>
            <w:vAlign w:val="bottom"/>
          </w:tcPr>
          <w:p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MA_ODP_WLC</w:t>
            </w:r>
          </w:p>
        </w:tc>
        <w:tc>
          <w:tcPr>
            <w:tcW w:w="1276" w:type="dxa"/>
            <w:vAlign w:val="bottom"/>
          </w:tcPr>
          <w:p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MA_EP_WLC</w:t>
            </w:r>
          </w:p>
        </w:tc>
        <w:tc>
          <w:tcPr>
            <w:tcW w:w="1559" w:type="dxa"/>
            <w:vAlign w:val="bottom"/>
          </w:tcPr>
          <w:p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MA_POCP_WLC</w:t>
            </w:r>
          </w:p>
        </w:tc>
        <w:tc>
          <w:tcPr>
            <w:tcW w:w="1418" w:type="dxa"/>
            <w:vAlign w:val="bottom"/>
          </w:tcPr>
          <w:p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MA_ADPE_WLC</w:t>
            </w:r>
          </w:p>
        </w:tc>
        <w:tc>
          <w:tcPr>
            <w:tcW w:w="1417" w:type="dxa"/>
            <w:vAlign w:val="bottom"/>
          </w:tcPr>
          <w:p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MA_ADPF_WLC</w:t>
            </w:r>
          </w:p>
        </w:tc>
        <w:tc>
          <w:tcPr>
            <w:tcW w:w="1418" w:type="dxa"/>
            <w:vAlign w:val="bottom"/>
          </w:tcPr>
          <w:p w:rsidR="00691470" w:rsidRPr="002E1327" w:rsidRDefault="00691470" w:rsidP="002E0555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MA_AIP_WLC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MA_WAP_WLC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2E1327" w:rsidRDefault="00691470" w:rsidP="002E0555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MA_GWP_D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MA_ODP_D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MA_EP_D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MA_POCP_D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MA_ADPE_D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MA_ADPF_D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MA_AIP_D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MA_WAP_D</w:t>
            </w:r>
          </w:p>
        </w:tc>
      </w:tr>
    </w:tbl>
    <w:p w:rsidR="002E0555" w:rsidRPr="002E1327" w:rsidRDefault="002E0555" w:rsidP="002E0555">
      <w:pPr>
        <w:pStyle w:val="Sansinterligne"/>
        <w:keepNext/>
        <w:rPr>
          <w:b/>
        </w:rPr>
      </w:pPr>
    </w:p>
    <w:tbl>
      <w:tblPr>
        <w:tblStyle w:val="Grilledutableau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07"/>
        <w:gridCol w:w="1286"/>
        <w:gridCol w:w="1559"/>
        <w:gridCol w:w="1418"/>
        <w:gridCol w:w="1417"/>
        <w:gridCol w:w="1418"/>
        <w:gridCol w:w="1275"/>
      </w:tblGrid>
      <w:tr w:rsidR="004B5691" w:rsidRPr="002E1327" w:rsidTr="00F651C7">
        <w:tc>
          <w:tcPr>
            <w:tcW w:w="3726" w:type="dxa"/>
            <w:gridSpan w:val="2"/>
            <w:vMerge w:val="restart"/>
          </w:tcPr>
          <w:p w:rsidR="004B5691" w:rsidRPr="002E1327" w:rsidRDefault="004B569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</w:p>
          <w:p w:rsidR="004B5691" w:rsidRPr="002E1327" w:rsidRDefault="00DC17E1" w:rsidP="002E0555">
            <w:pPr>
              <w:keepNext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4037" w:type="dxa"/>
            <w:gridSpan w:val="3"/>
            <w:vAlign w:val="center"/>
          </w:tcPr>
          <w:p w:rsidR="004B5691" w:rsidRPr="002E1327" w:rsidRDefault="002E1327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enewable energy</w:t>
            </w:r>
          </w:p>
        </w:tc>
        <w:tc>
          <w:tcPr>
            <w:tcW w:w="4394" w:type="dxa"/>
            <w:gridSpan w:val="3"/>
            <w:vAlign w:val="center"/>
          </w:tcPr>
          <w:p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2E1327" w:rsidRPr="002E1327">
              <w:rPr>
                <w:rFonts w:cs="Arial"/>
                <w:b/>
                <w:sz w:val="14"/>
                <w:szCs w:val="16"/>
                <w:lang w:val="en-US"/>
              </w:rPr>
              <w:t xml:space="preserve"> energy</w:t>
            </w:r>
          </w:p>
        </w:tc>
        <w:tc>
          <w:tcPr>
            <w:tcW w:w="1418" w:type="dxa"/>
            <w:vMerge w:val="restart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energy carrier</w:t>
            </w:r>
          </w:p>
        </w:tc>
        <w:tc>
          <w:tcPr>
            <w:tcW w:w="1275" w:type="dxa"/>
            <w:vMerge w:val="restart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P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rimary energy as material utilization</w:t>
            </w:r>
          </w:p>
        </w:tc>
      </w:tr>
      <w:tr w:rsidR="00A2787B" w:rsidRPr="002E1327" w:rsidTr="00F651C7">
        <w:tc>
          <w:tcPr>
            <w:tcW w:w="3726" w:type="dxa"/>
            <w:gridSpan w:val="2"/>
            <w:vMerge/>
          </w:tcPr>
          <w:p w:rsidR="004B5691" w:rsidRPr="002E1327" w:rsidRDefault="004B5691" w:rsidP="002E0555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344" w:type="dxa"/>
            <w:vAlign w:val="center"/>
          </w:tcPr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Renewable primary energy as energy carrier</w:t>
            </w:r>
          </w:p>
        </w:tc>
        <w:tc>
          <w:tcPr>
            <w:tcW w:w="1407" w:type="dxa"/>
            <w:vAlign w:val="center"/>
          </w:tcPr>
          <w:p w:rsidR="004B5691" w:rsidRPr="002E1327" w:rsidRDefault="00DC17E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R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enewable primary energy 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 xml:space="preserve">as 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286" w:type="dxa"/>
            <w:vAlign w:val="center"/>
          </w:tcPr>
          <w:p w:rsidR="004B5691" w:rsidRPr="002E1327" w:rsidRDefault="00DC17E1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Renewable primary energy </w:t>
            </w:r>
          </w:p>
        </w:tc>
        <w:tc>
          <w:tcPr>
            <w:tcW w:w="1559" w:type="dxa"/>
            <w:vAlign w:val="center"/>
          </w:tcPr>
          <w:p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Align w:val="center"/>
          </w:tcPr>
          <w:p w:rsidR="004B5691" w:rsidRPr="002E1327" w:rsidRDefault="00DD47FF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Nonrenewable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</w:t>
            </w:r>
            <w:r w:rsidR="00DC17E1">
              <w:rPr>
                <w:rFonts w:cs="Arial"/>
                <w:b/>
                <w:sz w:val="14"/>
                <w:szCs w:val="16"/>
                <w:lang w:val="en-US"/>
              </w:rPr>
              <w:t xml:space="preserve"> 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>material utilization</w:t>
            </w:r>
          </w:p>
        </w:tc>
        <w:tc>
          <w:tcPr>
            <w:tcW w:w="1417" w:type="dxa"/>
            <w:vAlign w:val="center"/>
          </w:tcPr>
          <w:p w:rsidR="004B5691" w:rsidRPr="002E1327" w:rsidRDefault="00DD47FF" w:rsidP="00DC17E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Nonre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newable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primary energy as energy carrier</w:t>
            </w:r>
          </w:p>
        </w:tc>
        <w:tc>
          <w:tcPr>
            <w:tcW w:w="1418" w:type="dxa"/>
            <w:vMerge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  <w:tc>
          <w:tcPr>
            <w:tcW w:w="1275" w:type="dxa"/>
            <w:vMerge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</w:p>
        </w:tc>
      </w:tr>
      <w:tr w:rsidR="00A2787B" w:rsidRPr="002E1327" w:rsidTr="00F651C7">
        <w:tc>
          <w:tcPr>
            <w:tcW w:w="3726" w:type="dxa"/>
            <w:gridSpan w:val="2"/>
            <w:vMerge/>
          </w:tcPr>
          <w:p w:rsidR="004B5691" w:rsidRPr="002E1327" w:rsidRDefault="004B5691" w:rsidP="002E0555">
            <w:pPr>
              <w:keepNext/>
              <w:rPr>
                <w:lang w:val="en-US"/>
              </w:rPr>
            </w:pPr>
          </w:p>
        </w:tc>
        <w:tc>
          <w:tcPr>
            <w:tcW w:w="1344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07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86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559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7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418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  <w:tc>
          <w:tcPr>
            <w:tcW w:w="1275" w:type="dxa"/>
          </w:tcPr>
          <w:p w:rsidR="004B5691" w:rsidRPr="002E1327" w:rsidRDefault="004B5691" w:rsidP="002E0555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MA_PERE_A1_A3</w:t>
            </w:r>
          </w:p>
        </w:tc>
        <w:tc>
          <w:tcPr>
            <w:tcW w:w="140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MA_PERM_A1_A3</w:t>
            </w:r>
          </w:p>
        </w:tc>
        <w:tc>
          <w:tcPr>
            <w:tcW w:w="128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MA_PERT_A1_A3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MA_PENRE_A1_A3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MA_PENRM_A1_A3</w:t>
            </w:r>
          </w:p>
        </w:tc>
        <w:tc>
          <w:tcPr>
            <w:tcW w:w="1417" w:type="dxa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MA_PENRT_A1_A3</w:t>
            </w:r>
          </w:p>
        </w:tc>
        <w:tc>
          <w:tcPr>
            <w:tcW w:w="1418" w:type="dxa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MA_PEE_A1_A3</w:t>
            </w:r>
          </w:p>
        </w:tc>
        <w:tc>
          <w:tcPr>
            <w:tcW w:w="1275" w:type="dxa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MA_PEM_A1_A3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MA_PERE_A4_A5</w:t>
            </w:r>
          </w:p>
        </w:tc>
        <w:tc>
          <w:tcPr>
            <w:tcW w:w="140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MA_PERM_A4_A5</w:t>
            </w:r>
          </w:p>
        </w:tc>
        <w:tc>
          <w:tcPr>
            <w:tcW w:w="128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MA_PERT_A4_A5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MA_PENRE_A4_A5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MA_PENRM_A4_A5</w:t>
            </w:r>
          </w:p>
        </w:tc>
        <w:tc>
          <w:tcPr>
            <w:tcW w:w="1417" w:type="dxa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MA_PENRT_A4_A5</w:t>
            </w:r>
          </w:p>
        </w:tc>
        <w:tc>
          <w:tcPr>
            <w:tcW w:w="1418" w:type="dxa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MA_PEE_A4_A5</w:t>
            </w:r>
          </w:p>
        </w:tc>
        <w:tc>
          <w:tcPr>
            <w:tcW w:w="1275" w:type="dxa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MA_PEM_A4_A5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MA_PERE_B1_B7</w:t>
            </w:r>
          </w:p>
        </w:tc>
        <w:tc>
          <w:tcPr>
            <w:tcW w:w="140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MA_PERM_B1_B7</w:t>
            </w:r>
          </w:p>
        </w:tc>
        <w:tc>
          <w:tcPr>
            <w:tcW w:w="128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MA_PERT_B1_B7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MA_PENRE_B1_B7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MA_PENRM_B1_B7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MA_PENRT_C1_C4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MA_PEE_C1_C4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MA_PEM_C1_C4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C1-C4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MA_PERE_C1_C4</w:t>
            </w:r>
          </w:p>
        </w:tc>
        <w:tc>
          <w:tcPr>
            <w:tcW w:w="140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MA_PERM_C1_C4</w:t>
            </w:r>
          </w:p>
        </w:tc>
        <w:tc>
          <w:tcPr>
            <w:tcW w:w="128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MA_PERT_C1_C4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MA_PENRE_C1_C4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MA_PENRM_C1_C4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MA_PENRT_C4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MA_PEE_C4</w:t>
            </w:r>
          </w:p>
        </w:tc>
        <w:tc>
          <w:tcPr>
            <w:tcW w:w="1275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color w:val="000000"/>
                <w:sz w:val="14"/>
                <w:szCs w:val="16"/>
                <w:lang w:val="en-US" w:eastAsia="fr-FR"/>
              </w:rPr>
              <w:t>MA_PEM_C4</w:t>
            </w:r>
          </w:p>
        </w:tc>
      </w:tr>
      <w:tr w:rsidR="00F77728" w:rsidRPr="002E1327" w:rsidTr="00F651C7">
        <w:tc>
          <w:tcPr>
            <w:tcW w:w="3085" w:type="dxa"/>
          </w:tcPr>
          <w:p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Whole life cycle (except D)</w:t>
            </w:r>
          </w:p>
        </w:tc>
        <w:tc>
          <w:tcPr>
            <w:tcW w:w="641" w:type="dxa"/>
            <w:vAlign w:val="center"/>
          </w:tcPr>
          <w:p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MA_PERE_WLC</w:t>
            </w:r>
          </w:p>
        </w:tc>
        <w:tc>
          <w:tcPr>
            <w:tcW w:w="1407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MA_PERM_WLC</w:t>
            </w:r>
          </w:p>
        </w:tc>
        <w:tc>
          <w:tcPr>
            <w:tcW w:w="1286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MA_PERT_WLC</w:t>
            </w:r>
          </w:p>
        </w:tc>
        <w:tc>
          <w:tcPr>
            <w:tcW w:w="1559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MA_PENRE_WLC</w:t>
            </w:r>
          </w:p>
        </w:tc>
        <w:tc>
          <w:tcPr>
            <w:tcW w:w="1418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MA_PENRM_WLC</w:t>
            </w:r>
          </w:p>
        </w:tc>
        <w:tc>
          <w:tcPr>
            <w:tcW w:w="1417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MA_PENRT_WLC</w:t>
            </w:r>
          </w:p>
        </w:tc>
        <w:tc>
          <w:tcPr>
            <w:tcW w:w="1418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MA_PEE_WLC</w:t>
            </w:r>
          </w:p>
        </w:tc>
        <w:tc>
          <w:tcPr>
            <w:tcW w:w="1275" w:type="dxa"/>
          </w:tcPr>
          <w:p w:rsidR="00F77728" w:rsidRPr="002E1327" w:rsidRDefault="00F77728" w:rsidP="005B5784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MA_PEM_WLC</w:t>
            </w:r>
          </w:p>
        </w:tc>
      </w:tr>
      <w:tr w:rsidR="00F77728" w:rsidRPr="002E1327" w:rsidTr="00F651C7">
        <w:tc>
          <w:tcPr>
            <w:tcW w:w="3085" w:type="dxa"/>
          </w:tcPr>
          <w:p w:rsidR="00F77728" w:rsidRPr="002E1327" w:rsidRDefault="00F77728" w:rsidP="002E0555">
            <w:pPr>
              <w:keepNext/>
              <w:rPr>
                <w:b/>
                <w:sz w:val="14"/>
                <w:szCs w:val="14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:rsidR="00F77728" w:rsidRPr="00F77728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F77728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07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86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559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7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MA_PENRT_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418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MA_PEE_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275" w:type="dxa"/>
          </w:tcPr>
          <w:p w:rsidR="00F77728" w:rsidRPr="002E1327" w:rsidRDefault="00F77728" w:rsidP="002E0555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MA_PEM_</w:t>
            </w:r>
            <w:r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</w:tr>
    </w:tbl>
    <w:p w:rsidR="00A7395F" w:rsidRPr="002E1327" w:rsidRDefault="00A7395F" w:rsidP="00A7395F">
      <w:pPr>
        <w:pStyle w:val="Sansinterligne"/>
        <w:keepNext/>
        <w:rPr>
          <w:b/>
        </w:rPr>
      </w:pPr>
    </w:p>
    <w:tbl>
      <w:tblPr>
        <w:tblStyle w:val="Grilledutableau"/>
        <w:tblW w:w="13575" w:type="dxa"/>
        <w:tblLayout w:type="fixed"/>
        <w:tblLook w:val="04A0" w:firstRow="1" w:lastRow="0" w:firstColumn="1" w:lastColumn="0" w:noHBand="0" w:noVBand="1"/>
      </w:tblPr>
      <w:tblGrid>
        <w:gridCol w:w="3085"/>
        <w:gridCol w:w="641"/>
        <w:gridCol w:w="1344"/>
        <w:gridCol w:w="1417"/>
        <w:gridCol w:w="1276"/>
        <w:gridCol w:w="1559"/>
        <w:gridCol w:w="1417"/>
        <w:gridCol w:w="1418"/>
        <w:gridCol w:w="1418"/>
      </w:tblGrid>
      <w:tr w:rsidR="004D3E58" w:rsidRPr="002E1327" w:rsidTr="00F651C7">
        <w:tc>
          <w:tcPr>
            <w:tcW w:w="3726" w:type="dxa"/>
            <w:gridSpan w:val="2"/>
            <w:vMerge w:val="restart"/>
          </w:tcPr>
          <w:p w:rsidR="004D3E58" w:rsidRPr="002E1327" w:rsidRDefault="004D3E58" w:rsidP="00A7395F">
            <w:pPr>
              <w:keepNext/>
              <w:jc w:val="center"/>
              <w:rPr>
                <w:sz w:val="14"/>
                <w:lang w:val="en-US"/>
              </w:rPr>
            </w:pPr>
          </w:p>
          <w:p w:rsidR="004D3E58" w:rsidRPr="002E1327" w:rsidRDefault="00DC17E1" w:rsidP="00A7395F">
            <w:pPr>
              <w:keepNext/>
              <w:jc w:val="center"/>
              <w:rPr>
                <w:sz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Life cycle analysis phases</w:t>
            </w:r>
          </w:p>
        </w:tc>
        <w:tc>
          <w:tcPr>
            <w:tcW w:w="1344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secondary material</w:t>
            </w:r>
          </w:p>
        </w:tc>
        <w:tc>
          <w:tcPr>
            <w:tcW w:w="1417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renewable secondary fuels</w:t>
            </w:r>
          </w:p>
        </w:tc>
        <w:tc>
          <w:tcPr>
            <w:tcW w:w="1276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Use of </w:t>
            </w:r>
            <w:r w:rsidR="00DD47FF">
              <w:rPr>
                <w:rFonts w:cs="Arial"/>
                <w:b/>
                <w:sz w:val="14"/>
                <w:szCs w:val="16"/>
                <w:lang w:val="en-US"/>
              </w:rPr>
              <w:t>nonr</w:t>
            </w:r>
            <w:r w:rsidR="00DD47FF" w:rsidRPr="00DC17E1">
              <w:rPr>
                <w:rFonts w:cs="Arial"/>
                <w:b/>
                <w:sz w:val="14"/>
                <w:szCs w:val="16"/>
                <w:lang w:val="en-US"/>
              </w:rPr>
              <w:t>enewable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secondary fuels</w:t>
            </w:r>
          </w:p>
        </w:tc>
        <w:tc>
          <w:tcPr>
            <w:tcW w:w="1559" w:type="dxa"/>
          </w:tcPr>
          <w:p w:rsidR="004D3E58" w:rsidRPr="002E1327" w:rsidRDefault="00DC17E1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Use of net fresh water</w:t>
            </w:r>
          </w:p>
        </w:tc>
        <w:tc>
          <w:tcPr>
            <w:tcW w:w="1417" w:type="dxa"/>
          </w:tcPr>
          <w:p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Hazardous waste disposed</w:t>
            </w:r>
          </w:p>
        </w:tc>
        <w:tc>
          <w:tcPr>
            <w:tcW w:w="1418" w:type="dxa"/>
          </w:tcPr>
          <w:p w:rsidR="004D3E58" w:rsidRPr="002E1327" w:rsidRDefault="00DD47FF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>
              <w:rPr>
                <w:rFonts w:cs="Arial"/>
                <w:b/>
                <w:sz w:val="14"/>
                <w:szCs w:val="16"/>
                <w:lang w:val="en-US"/>
              </w:rPr>
              <w:t>Nonha</w:t>
            </w: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zardous</w:t>
            </w:r>
            <w:r w:rsidR="00DC17E1" w:rsidRPr="00DC17E1">
              <w:rPr>
                <w:rFonts w:cs="Arial"/>
                <w:b/>
                <w:sz w:val="14"/>
                <w:szCs w:val="16"/>
                <w:lang w:val="en-US"/>
              </w:rPr>
              <w:t xml:space="preserve"> waste disposed</w:t>
            </w:r>
          </w:p>
        </w:tc>
        <w:tc>
          <w:tcPr>
            <w:tcW w:w="1418" w:type="dxa"/>
          </w:tcPr>
          <w:p w:rsidR="004D3E58" w:rsidRPr="002E1327" w:rsidRDefault="00DC17E1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DC17E1">
              <w:rPr>
                <w:rFonts w:cs="Arial"/>
                <w:b/>
                <w:sz w:val="14"/>
                <w:szCs w:val="16"/>
                <w:lang w:val="en-US"/>
              </w:rPr>
              <w:t>Radioactive waste disposed</w:t>
            </w:r>
          </w:p>
        </w:tc>
        <w:bookmarkStart w:id="0" w:name="_GoBack"/>
        <w:bookmarkEnd w:id="0"/>
      </w:tr>
      <w:tr w:rsidR="004B5691" w:rsidRPr="002E1327" w:rsidTr="00F651C7">
        <w:tc>
          <w:tcPr>
            <w:tcW w:w="3726" w:type="dxa"/>
            <w:gridSpan w:val="2"/>
            <w:vMerge/>
          </w:tcPr>
          <w:p w:rsidR="004B5691" w:rsidRPr="002E1327" w:rsidRDefault="004B5691" w:rsidP="00A7395F">
            <w:pPr>
              <w:keepNext/>
              <w:rPr>
                <w:sz w:val="14"/>
                <w:lang w:val="en-US"/>
              </w:rPr>
            </w:pPr>
          </w:p>
        </w:tc>
        <w:tc>
          <w:tcPr>
            <w:tcW w:w="1344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7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276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MJ/UF</w:t>
            </w:r>
          </w:p>
        </w:tc>
        <w:tc>
          <w:tcPr>
            <w:tcW w:w="1559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m3/UF</w:t>
            </w:r>
          </w:p>
        </w:tc>
        <w:tc>
          <w:tcPr>
            <w:tcW w:w="1417" w:type="dxa"/>
          </w:tcPr>
          <w:p w:rsidR="004B5691" w:rsidRPr="002E1327" w:rsidRDefault="004B5691" w:rsidP="00A7395F">
            <w:pPr>
              <w:keepNext/>
              <w:jc w:val="center"/>
              <w:rPr>
                <w:rFonts w:cs="Arial"/>
                <w:i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  <w:tc>
          <w:tcPr>
            <w:tcW w:w="1418" w:type="dxa"/>
          </w:tcPr>
          <w:p w:rsidR="004B5691" w:rsidRPr="002E1327" w:rsidRDefault="004B5691" w:rsidP="004B5691">
            <w:pPr>
              <w:jc w:val="center"/>
              <w:rPr>
                <w:lang w:val="en-US"/>
              </w:rPr>
            </w:pPr>
            <w:r w:rsidRPr="002E1327">
              <w:rPr>
                <w:rFonts w:cs="Arial"/>
                <w:i/>
                <w:sz w:val="14"/>
                <w:szCs w:val="16"/>
                <w:lang w:val="en-US"/>
              </w:rPr>
              <w:t>kg/UF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Production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A1-A3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MA_SM_A1_A3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MA_RSF_A1_A3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MA_NRSF_A1_A3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MA_WAC_A1_A3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MA_HWD_A1_A3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MA_NHWD_A1_A3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MA_RWD_A1_A3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691470">
              <w:rPr>
                <w:rFonts w:cs="Arial"/>
                <w:b/>
                <w:sz w:val="14"/>
                <w:szCs w:val="14"/>
                <w:lang w:val="en-US"/>
              </w:rPr>
              <w:t>Construction process stage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A4-A5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MA_SM_A4_A5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MA_RSF_A4_A5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MA_NRSF_A4_A5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MA_WAC_A4_A5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MA_HWD_A4_A5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MA_NHWD_A4_A5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MA_RWD_A4_A5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 w:rsidRPr="002E1327">
              <w:rPr>
                <w:b/>
                <w:sz w:val="14"/>
                <w:szCs w:val="14"/>
                <w:lang w:val="en-US"/>
              </w:rPr>
              <w:t>Usage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B1-B7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MA_SM_B1_B7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MA_RSF_B1_B7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MA_NRSF_B1_B7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MA_WAC_B1_B7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MA_HWD_B1_B7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MA_NHWD_B1_B7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MA_RWD_B1_B7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515C19" w:rsidRDefault="00691470" w:rsidP="002105C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End of life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C1-B4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MA_SM_C1_C4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MA_RSF_C1_C4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MA_NRSF_C1_C4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MA_WAC_C1_C4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MA_HWD_C1_C4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MA_NHWD_C1_C4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105C1">
            <w:pPr>
              <w:keepNext/>
              <w:jc w:val="center"/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MA_RWD_C1_C4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2E1327" w:rsidRDefault="00691470" w:rsidP="00DC17E1">
            <w:pPr>
              <w:keepNext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 xml:space="preserve">Whole life cycle (except </w:t>
            </w:r>
            <w:r w:rsidRPr="002E1327">
              <w:rPr>
                <w:rFonts w:cs="Arial"/>
                <w:b/>
                <w:sz w:val="14"/>
                <w:szCs w:val="14"/>
                <w:lang w:val="en-US"/>
              </w:rPr>
              <w:t>D)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WLC</w:t>
            </w:r>
          </w:p>
        </w:tc>
        <w:tc>
          <w:tcPr>
            <w:tcW w:w="1344" w:type="dxa"/>
            <w:vAlign w:val="bottom"/>
          </w:tcPr>
          <w:p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MA_SM_WLC</w:t>
            </w:r>
          </w:p>
        </w:tc>
        <w:tc>
          <w:tcPr>
            <w:tcW w:w="1417" w:type="dxa"/>
            <w:vAlign w:val="bottom"/>
          </w:tcPr>
          <w:p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MA_RSF_WLC</w:t>
            </w:r>
          </w:p>
        </w:tc>
        <w:tc>
          <w:tcPr>
            <w:tcW w:w="1276" w:type="dxa"/>
            <w:vAlign w:val="bottom"/>
          </w:tcPr>
          <w:p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MA_NRSF_WLC</w:t>
            </w:r>
          </w:p>
        </w:tc>
        <w:tc>
          <w:tcPr>
            <w:tcW w:w="1559" w:type="dxa"/>
            <w:vAlign w:val="bottom"/>
          </w:tcPr>
          <w:p w:rsidR="00691470" w:rsidRPr="002E1327" w:rsidRDefault="00691470" w:rsidP="00A7395F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MA_WAC_WLC</w:t>
            </w:r>
          </w:p>
        </w:tc>
        <w:tc>
          <w:tcPr>
            <w:tcW w:w="1417" w:type="dxa"/>
            <w:vAlign w:val="bottom"/>
          </w:tcPr>
          <w:p w:rsidR="00691470" w:rsidRPr="002E1327" w:rsidRDefault="00691470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MA_HWD_WLC</w:t>
            </w:r>
          </w:p>
        </w:tc>
        <w:tc>
          <w:tcPr>
            <w:tcW w:w="1418" w:type="dxa"/>
            <w:vAlign w:val="bottom"/>
          </w:tcPr>
          <w:p w:rsidR="00691470" w:rsidRPr="002E1327" w:rsidRDefault="00691470" w:rsidP="002E1327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MA_NHWD_WLC</w:t>
            </w:r>
          </w:p>
        </w:tc>
        <w:tc>
          <w:tcPr>
            <w:tcW w:w="1418" w:type="dxa"/>
            <w:vAlign w:val="bottom"/>
          </w:tcPr>
          <w:p w:rsidR="00691470" w:rsidRPr="002E1327" w:rsidRDefault="00691470" w:rsidP="004D3E58">
            <w:pPr>
              <w:keepNext/>
              <w:jc w:val="center"/>
              <w:rPr>
                <w:rFonts w:eastAsia="Times New Roman" w:cs="Arial"/>
                <w:b/>
                <w:color w:val="000000"/>
                <w:sz w:val="14"/>
                <w:szCs w:val="16"/>
                <w:lang w:val="en-US" w:eastAsia="fr-FR"/>
              </w:rPr>
            </w:pPr>
            <w:r w:rsidRPr="002E1327">
              <w:rPr>
                <w:rFonts w:cs="Arial"/>
                <w:b/>
                <w:color w:val="000000"/>
                <w:sz w:val="14"/>
                <w:szCs w:val="16"/>
                <w:lang w:val="en-US" w:eastAsia="fr-FR"/>
              </w:rPr>
              <w:t>MA_RWD_WLC</w:t>
            </w:r>
          </w:p>
        </w:tc>
      </w:tr>
      <w:tr w:rsidR="00691470" w:rsidRPr="002E1327" w:rsidTr="00F651C7">
        <w:tc>
          <w:tcPr>
            <w:tcW w:w="3085" w:type="dxa"/>
          </w:tcPr>
          <w:p w:rsidR="00691470" w:rsidRPr="002E1327" w:rsidRDefault="00691470" w:rsidP="00A7395F">
            <w:pPr>
              <w:keepNext/>
              <w:rPr>
                <w:rFonts w:cs="Arial"/>
                <w:b/>
                <w:sz w:val="14"/>
                <w:szCs w:val="16"/>
                <w:lang w:val="en-US"/>
              </w:rPr>
            </w:pPr>
            <w:r w:rsidRPr="00515C19">
              <w:rPr>
                <w:rFonts w:cs="Arial"/>
                <w:b/>
                <w:sz w:val="14"/>
                <w:szCs w:val="14"/>
                <w:lang w:val="en-US"/>
              </w:rPr>
              <w:t>Re-use Recovery Recycling potential</w:t>
            </w:r>
          </w:p>
        </w:tc>
        <w:tc>
          <w:tcPr>
            <w:tcW w:w="641" w:type="dxa"/>
            <w:vAlign w:val="center"/>
          </w:tcPr>
          <w:p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D</w:t>
            </w:r>
          </w:p>
        </w:tc>
        <w:tc>
          <w:tcPr>
            <w:tcW w:w="1344" w:type="dxa"/>
            <w:vAlign w:val="center"/>
          </w:tcPr>
          <w:p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MA_SM_D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MA_RSF_D</w:t>
            </w:r>
          </w:p>
        </w:tc>
        <w:tc>
          <w:tcPr>
            <w:tcW w:w="1276" w:type="dxa"/>
            <w:vAlign w:val="center"/>
          </w:tcPr>
          <w:p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MA_NRSF_D</w:t>
            </w:r>
          </w:p>
        </w:tc>
        <w:tc>
          <w:tcPr>
            <w:tcW w:w="1559" w:type="dxa"/>
            <w:vAlign w:val="center"/>
          </w:tcPr>
          <w:p w:rsidR="00691470" w:rsidRPr="002E1327" w:rsidRDefault="00691470" w:rsidP="00A7395F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MA_WAC_D</w:t>
            </w:r>
          </w:p>
        </w:tc>
        <w:tc>
          <w:tcPr>
            <w:tcW w:w="1417" w:type="dxa"/>
            <w:vAlign w:val="center"/>
          </w:tcPr>
          <w:p w:rsidR="00691470" w:rsidRPr="002E1327" w:rsidRDefault="00691470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MA_HWD_D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2E1327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MA_NHWD_D</w:t>
            </w:r>
          </w:p>
        </w:tc>
        <w:tc>
          <w:tcPr>
            <w:tcW w:w="1418" w:type="dxa"/>
            <w:vAlign w:val="center"/>
          </w:tcPr>
          <w:p w:rsidR="00691470" w:rsidRPr="002E1327" w:rsidRDefault="00691470" w:rsidP="004D3E58">
            <w:pPr>
              <w:keepNext/>
              <w:jc w:val="center"/>
              <w:rPr>
                <w:rFonts w:cs="Arial"/>
                <w:b/>
                <w:sz w:val="14"/>
                <w:szCs w:val="16"/>
                <w:lang w:val="en-US"/>
              </w:rPr>
            </w:pPr>
            <w:r w:rsidRPr="002E1327">
              <w:rPr>
                <w:rFonts w:cs="Arial"/>
                <w:b/>
                <w:sz w:val="14"/>
                <w:szCs w:val="16"/>
                <w:lang w:val="en-US"/>
              </w:rPr>
              <w:t>MA_RWD_D</w:t>
            </w:r>
          </w:p>
        </w:tc>
      </w:tr>
    </w:tbl>
    <w:p w:rsidR="00746600" w:rsidRPr="002E1327" w:rsidRDefault="00746600">
      <w:pPr>
        <w:rPr>
          <w:rStyle w:val="Lienhypertexte"/>
          <w:lang w:val="en-US"/>
        </w:rPr>
      </w:pPr>
    </w:p>
    <w:p w:rsidR="009641D3" w:rsidRPr="002E1327" w:rsidRDefault="009641D3" w:rsidP="009641D3">
      <w:pPr>
        <w:rPr>
          <w:rFonts w:ascii="Arial" w:hAnsi="Arial" w:cs="Arial"/>
          <w:sz w:val="14"/>
          <w:szCs w:val="14"/>
          <w:lang w:val="en-US"/>
        </w:rPr>
      </w:pPr>
    </w:p>
    <w:sectPr w:rsidR="009641D3" w:rsidRPr="002E1327" w:rsidSect="00F83C99">
      <w:headerReference w:type="default" r:id="rId9"/>
      <w:pgSz w:w="15840" w:h="12240" w:orient="landscape"/>
      <w:pgMar w:top="567" w:right="567" w:bottom="567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BE" w:rsidRDefault="003F09BE" w:rsidP="00EE0BF2">
      <w:pPr>
        <w:spacing w:after="0" w:line="240" w:lineRule="auto"/>
      </w:pPr>
      <w:r>
        <w:separator/>
      </w:r>
    </w:p>
  </w:endnote>
  <w:endnote w:type="continuationSeparator" w:id="0">
    <w:p w:rsidR="003F09BE" w:rsidRDefault="003F09BE" w:rsidP="00EE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BE" w:rsidRDefault="003F09BE" w:rsidP="00EE0BF2">
      <w:pPr>
        <w:spacing w:after="0" w:line="240" w:lineRule="auto"/>
      </w:pPr>
      <w:r>
        <w:separator/>
      </w:r>
    </w:p>
  </w:footnote>
  <w:footnote w:type="continuationSeparator" w:id="0">
    <w:p w:rsidR="003F09BE" w:rsidRDefault="003F09BE" w:rsidP="00EE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19"/>
      <w:gridCol w:w="2711"/>
      <w:gridCol w:w="6286"/>
    </w:tblGrid>
    <w:tr w:rsidR="002E1327" w:rsidRPr="00B40A35" w:rsidTr="003B49E0">
      <w:tc>
        <w:tcPr>
          <w:tcW w:w="5619" w:type="dxa"/>
        </w:tcPr>
        <w:p w:rsidR="002E1327" w:rsidRDefault="002E1327" w:rsidP="005D70F6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3492BD6D" wp14:editId="7C79DA3B">
                <wp:extent cx="1935126" cy="379791"/>
                <wp:effectExtent l="0" t="0" r="8255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241" cy="382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1" w:type="dxa"/>
        </w:tcPr>
        <w:p w:rsidR="002E1327" w:rsidRDefault="002E1327" w:rsidP="005D70F6">
          <w:pPr>
            <w:pStyle w:val="En-tte"/>
          </w:pPr>
        </w:p>
      </w:tc>
      <w:tc>
        <w:tcPr>
          <w:tcW w:w="6286" w:type="dxa"/>
        </w:tcPr>
        <w:p w:rsidR="002E1327" w:rsidRPr="00B40A35" w:rsidRDefault="002E1327" w:rsidP="005D70F6">
          <w:pPr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Cocon-</w:t>
          </w:r>
          <w:proofErr w:type="spellStart"/>
          <w:r>
            <w:rPr>
              <w:rFonts w:ascii="Calibri" w:hAnsi="Calibri" w:cs="Calibri"/>
            </w:rPr>
            <w:t>bim</w:t>
          </w:r>
          <w:proofErr w:type="spellEnd"/>
          <w:r>
            <w:rPr>
              <w:rFonts w:ascii="Calibri" w:hAnsi="Calibri" w:cs="Calibri"/>
            </w:rPr>
            <w:t xml:space="preserve"> - </w:t>
          </w:r>
          <w:proofErr w:type="spellStart"/>
          <w:r w:rsidRPr="00B40A35">
            <w:rPr>
              <w:rFonts w:ascii="Calibri" w:hAnsi="Calibri" w:cs="Calibri"/>
            </w:rPr>
            <w:t>Eosphere</w:t>
          </w:r>
          <w:proofErr w:type="spellEnd"/>
          <w:r w:rsidRPr="00B40A35">
            <w:rPr>
              <w:rFonts w:ascii="Calibri" w:hAnsi="Calibri" w:cs="Calibri"/>
            </w:rPr>
            <w:t>, 45 les Coteaux de Marras, 31650 Lauzerville</w:t>
          </w:r>
        </w:p>
        <w:p w:rsidR="002E1327" w:rsidRPr="00B40A35" w:rsidRDefault="003F09BE" w:rsidP="005D70F6">
          <w:pPr>
            <w:pStyle w:val="En-tte"/>
            <w:jc w:val="right"/>
          </w:pPr>
          <w:hyperlink r:id="rId2" w:history="1">
            <w:r w:rsidR="002E1327" w:rsidRPr="00B40A35">
              <w:rPr>
                <w:rStyle w:val="Lienhypertexte"/>
              </w:rPr>
              <w:t>www.cocon-bim.com</w:t>
            </w:r>
          </w:hyperlink>
          <w:r w:rsidR="002E1327" w:rsidRPr="00B40A35">
            <w:t xml:space="preserve"> </w:t>
          </w:r>
        </w:p>
      </w:tc>
    </w:tr>
  </w:tbl>
  <w:p w:rsidR="002E1327" w:rsidRDefault="002E1327" w:rsidP="003B49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3A"/>
    <w:rsid w:val="00086F3C"/>
    <w:rsid w:val="000F6A0A"/>
    <w:rsid w:val="0020753A"/>
    <w:rsid w:val="002529B5"/>
    <w:rsid w:val="00274A47"/>
    <w:rsid w:val="002E0555"/>
    <w:rsid w:val="002E1327"/>
    <w:rsid w:val="002E66C4"/>
    <w:rsid w:val="002F4E45"/>
    <w:rsid w:val="0032596C"/>
    <w:rsid w:val="003432A0"/>
    <w:rsid w:val="00361C01"/>
    <w:rsid w:val="00394425"/>
    <w:rsid w:val="003B485D"/>
    <w:rsid w:val="003B49E0"/>
    <w:rsid w:val="003F09BE"/>
    <w:rsid w:val="003F72D2"/>
    <w:rsid w:val="00434195"/>
    <w:rsid w:val="004B5691"/>
    <w:rsid w:val="004D0BBC"/>
    <w:rsid w:val="004D3E58"/>
    <w:rsid w:val="004F1057"/>
    <w:rsid w:val="00515C19"/>
    <w:rsid w:val="005A1362"/>
    <w:rsid w:val="005B0CFC"/>
    <w:rsid w:val="005D6A8E"/>
    <w:rsid w:val="005D70F6"/>
    <w:rsid w:val="00630B77"/>
    <w:rsid w:val="00631C1F"/>
    <w:rsid w:val="00680651"/>
    <w:rsid w:val="00691470"/>
    <w:rsid w:val="006C14A6"/>
    <w:rsid w:val="0071216B"/>
    <w:rsid w:val="00746600"/>
    <w:rsid w:val="007E53C4"/>
    <w:rsid w:val="007F1840"/>
    <w:rsid w:val="0086358A"/>
    <w:rsid w:val="00875DD8"/>
    <w:rsid w:val="00880A3E"/>
    <w:rsid w:val="008C5562"/>
    <w:rsid w:val="009073B7"/>
    <w:rsid w:val="009641D3"/>
    <w:rsid w:val="00996BBB"/>
    <w:rsid w:val="009A693D"/>
    <w:rsid w:val="009B7830"/>
    <w:rsid w:val="00A10D25"/>
    <w:rsid w:val="00A14A9B"/>
    <w:rsid w:val="00A2787B"/>
    <w:rsid w:val="00A7395F"/>
    <w:rsid w:val="00B85874"/>
    <w:rsid w:val="00BC7F4E"/>
    <w:rsid w:val="00BF376E"/>
    <w:rsid w:val="00C865F8"/>
    <w:rsid w:val="00CB4206"/>
    <w:rsid w:val="00CC72F8"/>
    <w:rsid w:val="00D60285"/>
    <w:rsid w:val="00DA1AC0"/>
    <w:rsid w:val="00DC17E1"/>
    <w:rsid w:val="00DD47FF"/>
    <w:rsid w:val="00DF38CA"/>
    <w:rsid w:val="00E64DED"/>
    <w:rsid w:val="00EA5309"/>
    <w:rsid w:val="00EE05B9"/>
    <w:rsid w:val="00EE0BF2"/>
    <w:rsid w:val="00F60381"/>
    <w:rsid w:val="00F651C7"/>
    <w:rsid w:val="00F66017"/>
    <w:rsid w:val="00F77728"/>
    <w:rsid w:val="00F83C99"/>
    <w:rsid w:val="00F900A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555"/>
    <w:rPr>
      <w:sz w:val="16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EE0BF2"/>
    <w:pPr>
      <w:pageBreakBefore/>
      <w:numPr>
        <w:numId w:val="1"/>
      </w:numPr>
      <w:pBdr>
        <w:top w:val="single" w:sz="18" w:space="1" w:color="auto"/>
      </w:pBdr>
      <w:spacing w:before="120" w:after="120" w:line="240" w:lineRule="auto"/>
      <w:jc w:val="both"/>
      <w:outlineLvl w:val="0"/>
    </w:pPr>
    <w:rPr>
      <w:rFonts w:ascii="Helvetica" w:eastAsiaTheme="majorEastAsia" w:hAnsi="Helvetica" w:cstheme="majorBidi"/>
      <w:b/>
      <w:sz w:val="28"/>
      <w:szCs w:val="20"/>
    </w:rPr>
  </w:style>
  <w:style w:type="paragraph" w:styleId="Titre2">
    <w:name w:val="heading 2"/>
    <w:basedOn w:val="Normal"/>
    <w:next w:val="textecourant"/>
    <w:link w:val="Titre2Car"/>
    <w:qFormat/>
    <w:rsid w:val="00EE0BF2"/>
    <w:pPr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DF38CA"/>
    <w:pPr>
      <w:pageBreakBefore/>
      <w:numPr>
        <w:ilvl w:val="2"/>
        <w:numId w:val="1"/>
      </w:numPr>
      <w:spacing w:before="360" w:after="120" w:line="240" w:lineRule="auto"/>
      <w:jc w:val="both"/>
      <w:outlineLvl w:val="2"/>
    </w:pPr>
    <w:rPr>
      <w:rFonts w:ascii="Helvetica" w:eastAsiaTheme="majorEastAsia" w:hAnsi="Helvetica" w:cstheme="majorBidi"/>
      <w:b/>
      <w:sz w:val="24"/>
      <w:szCs w:val="20"/>
      <w:u w:val="single"/>
    </w:rPr>
  </w:style>
  <w:style w:type="paragraph" w:styleId="Titre4">
    <w:name w:val="heading 4"/>
    <w:basedOn w:val="Normal"/>
    <w:link w:val="Titre4Car"/>
    <w:qFormat/>
    <w:rsid w:val="00EE0BF2"/>
    <w:pPr>
      <w:numPr>
        <w:ilvl w:val="3"/>
        <w:numId w:val="1"/>
      </w:numPr>
      <w:spacing w:before="240" w:after="120" w:line="240" w:lineRule="auto"/>
      <w:jc w:val="both"/>
      <w:outlineLvl w:val="3"/>
    </w:pPr>
    <w:rPr>
      <w:rFonts w:ascii="Helvetica" w:eastAsiaTheme="majorEastAsia" w:hAnsi="Helvetica" w:cstheme="majorBidi"/>
      <w:sz w:val="20"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EE0BF2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E0BF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EE0BF2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EE0BF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EE0BF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0BF2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EE0BF2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DF38CA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EE0BF2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EE0BF2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EE0BF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EE0BF2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EE0BF2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EE0BF2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EE0BF2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textecourantCar">
    <w:name w:val="texte courant Car"/>
    <w:link w:val="textecourant"/>
    <w:rsid w:val="00EE0BF2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BF2"/>
  </w:style>
  <w:style w:type="paragraph" w:styleId="Pieddepage">
    <w:name w:val="footer"/>
    <w:basedOn w:val="Normal"/>
    <w:link w:val="PieddepageCar"/>
    <w:uiPriority w:val="99"/>
    <w:unhideWhenUsed/>
    <w:rsid w:val="00EE0B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BF2"/>
  </w:style>
  <w:style w:type="character" w:styleId="Lienhypertexte">
    <w:name w:val="Hyperlink"/>
    <w:basedOn w:val="Policepardfaut"/>
    <w:uiPriority w:val="99"/>
    <w:unhideWhenUsed/>
    <w:qFormat/>
    <w:rsid w:val="005D6A8E"/>
    <w:rPr>
      <w:rFonts w:ascii="Arial" w:hAnsi="Arial"/>
      <w:color w:val="0000FF" w:themeColor="hyperlink"/>
      <w:sz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BF2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BF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7121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21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216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64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4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41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4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41D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E0555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071033-3F7A-40F7-8F0B-8EF2483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52</cp:revision>
  <dcterms:created xsi:type="dcterms:W3CDTF">2018-08-31T17:13:00Z</dcterms:created>
  <dcterms:modified xsi:type="dcterms:W3CDTF">2018-09-17T13:02:00Z</dcterms:modified>
</cp:coreProperties>
</file>